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38"/>
      </w:pPr>
      <w:r>
        <w:rPr>
          <w:spacing w:val="-4"/>
        </w:rPr>
        <w:t>一、实验准备</w:t>
      </w:r>
    </w:p>
    <w:p>
      <w:pPr>
        <w:pStyle w:val="BodyText"/>
        <w:spacing w:before="376"/>
        <w:ind w:left="230"/>
      </w:pPr>
      <w:r>
        <w:rPr>
          <w:spacing w:val="-2"/>
        </w:rPr>
        <w:t>1</w:t>
      </w:r>
      <w:r>
        <w:rPr>
          <w:spacing w:val="-5"/>
        </w:rPr>
        <w:t>、根据平台提供的地址，登录操作机。使用 </w:t>
      </w:r>
      <w:r>
        <w:rPr>
          <w:spacing w:val="-2"/>
        </w:rPr>
        <w:t>ensp</w:t>
      </w:r>
      <w:r>
        <w:rPr>
          <w:spacing w:val="-16"/>
        </w:rPr>
        <w:t> 打开</w:t>
      </w:r>
      <w:r>
        <w:rPr>
          <w:spacing w:val="-2"/>
        </w:rPr>
        <w:t>“IPv6</w:t>
      </w:r>
      <w:r>
        <w:rPr>
          <w:spacing w:val="-10"/>
        </w:rPr>
        <w:t> 实验拓扑”文件夹下的拓扑图。</w:t>
      </w:r>
    </w:p>
    <w:p>
      <w:pPr>
        <w:pStyle w:val="BodyText"/>
        <w:spacing w:before="9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685800</wp:posOffset>
            </wp:positionH>
            <wp:positionV relativeFrom="paragraph">
              <wp:posOffset>243586</wp:posOffset>
            </wp:positionV>
            <wp:extent cx="6172059" cy="3471862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059" cy="347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8"/>
      </w:pPr>
    </w:p>
    <w:p>
      <w:pPr>
        <w:pStyle w:val="BodyText"/>
        <w:ind w:left="230"/>
      </w:pPr>
      <w:r>
        <w:rPr>
          <w:rFonts w:ascii="Calibri" w:eastAsia="Calibri"/>
        </w:rPr>
        <w:t>2</w:t>
      </w:r>
      <w:r>
        <w:rPr>
          <w:spacing w:val="-21"/>
        </w:rPr>
        <w:t>、在 </w:t>
      </w:r>
      <w:r>
        <w:rPr>
          <w:rFonts w:ascii="Calibri" w:eastAsia="Calibri"/>
        </w:rPr>
        <w:t>AR2</w:t>
      </w:r>
      <w:r>
        <w:rPr>
          <w:rFonts w:ascii="Calibri" w:eastAsia="Calibri"/>
          <w:spacing w:val="-2"/>
        </w:rPr>
        <w:t> </w:t>
      </w:r>
      <w:r>
        <w:rPr>
          <w:spacing w:val="-30"/>
        </w:rPr>
        <w:t>的 </w:t>
      </w:r>
      <w:r>
        <w:rPr>
          <w:rFonts w:ascii="Calibri" w:eastAsia="Calibri"/>
        </w:rPr>
        <w:t>G0/0/0</w:t>
      </w:r>
      <w:r>
        <w:rPr>
          <w:rFonts w:ascii="Calibri" w:eastAsia="Calibri"/>
          <w:spacing w:val="4"/>
        </w:rPr>
        <w:t> </w:t>
      </w:r>
      <w:r>
        <w:rPr>
          <w:spacing w:val="-10"/>
        </w:rPr>
        <w:t>接口上打开 </w:t>
      </w:r>
      <w:r>
        <w:rPr>
          <w:rFonts w:ascii="Calibri" w:eastAsia="Calibri"/>
        </w:rPr>
        <w:t>wireshark</w:t>
      </w:r>
      <w:r>
        <w:rPr>
          <w:rFonts w:ascii="Calibri" w:eastAsia="Calibri"/>
          <w:spacing w:val="4"/>
        </w:rPr>
        <w:t> </w:t>
      </w:r>
      <w:r>
        <w:rPr>
          <w:spacing w:val="-4"/>
        </w:rPr>
        <w:t>抓包。</w:t>
      </w:r>
    </w:p>
    <w:p>
      <w:pPr>
        <w:pStyle w:val="BodyText"/>
        <w:spacing w:before="10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685800</wp:posOffset>
            </wp:positionH>
            <wp:positionV relativeFrom="paragraph">
              <wp:posOffset>249237</wp:posOffset>
            </wp:positionV>
            <wp:extent cx="6143354" cy="3440429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354" cy="3440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760" w:bottom="280" w:left="850" w:right="850"/>
        </w:sectPr>
      </w:pPr>
    </w:p>
    <w:p>
      <w:pPr>
        <w:pStyle w:val="BodyText"/>
        <w:spacing w:before="40"/>
        <w:ind w:left="230"/>
      </w:pPr>
      <w:r>
        <w:rPr>
          <w:rFonts w:ascii="Calibri" w:eastAsia="Calibri"/>
        </w:rPr>
        <w:t>3</w:t>
      </w:r>
      <w:r>
        <w:rPr>
          <w:spacing w:val="-20"/>
        </w:rPr>
        <w:t>、在 </w:t>
      </w:r>
      <w:r>
        <w:rPr>
          <w:rFonts w:ascii="Calibri" w:eastAsia="Calibri"/>
        </w:rPr>
        <w:t>AR1</w:t>
      </w:r>
      <w:r>
        <w:rPr>
          <w:rFonts w:ascii="Calibri" w:eastAsia="Calibri"/>
          <w:spacing w:val="3"/>
        </w:rPr>
        <w:t> </w:t>
      </w:r>
      <w:r>
        <w:rPr>
          <w:spacing w:val="-30"/>
        </w:rPr>
        <w:t>上 </w:t>
      </w:r>
      <w:r>
        <w:rPr>
          <w:rFonts w:ascii="Calibri" w:eastAsia="Calibri"/>
        </w:rPr>
        <w:t>ping</w:t>
      </w:r>
      <w:r>
        <w:rPr>
          <w:rFonts w:ascii="Calibri" w:eastAsia="Calibri"/>
          <w:spacing w:val="-1"/>
        </w:rPr>
        <w:t> </w:t>
      </w:r>
      <w:r>
        <w:rPr>
          <w:rFonts w:ascii="Calibri" w:eastAsia="Calibri"/>
        </w:rPr>
        <w:t>AR2</w:t>
      </w:r>
      <w:r>
        <w:rPr>
          <w:rFonts w:ascii="Calibri" w:eastAsia="Calibri"/>
          <w:spacing w:val="3"/>
        </w:rPr>
        <w:t> </w:t>
      </w:r>
      <w:r>
        <w:rPr>
          <w:spacing w:val="-9"/>
        </w:rPr>
        <w:t>的地址，获得 </w:t>
      </w:r>
      <w:r>
        <w:rPr>
          <w:rFonts w:ascii="Calibri" w:eastAsia="Calibri"/>
        </w:rPr>
        <w:t>IPv6</w:t>
      </w:r>
      <w:r>
        <w:rPr>
          <w:rFonts w:ascii="Calibri" w:eastAsia="Calibri"/>
          <w:spacing w:val="6"/>
        </w:rPr>
        <w:t> </w:t>
      </w:r>
      <w:r>
        <w:rPr>
          <w:spacing w:val="-2"/>
        </w:rPr>
        <w:t>的数据包。</w:t>
      </w:r>
    </w:p>
    <w:p>
      <w:pPr>
        <w:pStyle w:val="BodyText"/>
        <w:spacing w:before="3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685800</wp:posOffset>
            </wp:positionH>
            <wp:positionV relativeFrom="paragraph">
              <wp:posOffset>42290</wp:posOffset>
            </wp:positionV>
            <wp:extent cx="6181705" cy="506577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705" cy="506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685800</wp:posOffset>
            </wp:positionH>
            <wp:positionV relativeFrom="paragraph">
              <wp:posOffset>5198871</wp:posOffset>
            </wp:positionV>
            <wp:extent cx="6180130" cy="3273552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130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after="0"/>
        <w:rPr>
          <w:sz w:val="9"/>
        </w:rPr>
        <w:sectPr>
          <w:pgSz w:w="11910" w:h="16840"/>
          <w:pgMar w:top="1380" w:bottom="280" w:left="850" w:right="850"/>
        </w:sectPr>
      </w:pPr>
    </w:p>
    <w:p>
      <w:pPr>
        <w:pStyle w:val="BodyText"/>
        <w:spacing w:before="40"/>
        <w:ind w:left="230"/>
      </w:pPr>
      <w:r>
        <w:rPr>
          <w:rFonts w:ascii="Calibri" w:hAnsi="Calibri" w:eastAsia="Calibri"/>
        </w:rPr>
        <w:t>4</w:t>
      </w:r>
      <w:r>
        <w:rPr/>
        <w:t>、也可以直接打开“IPv6</w:t>
      </w:r>
      <w:r>
        <w:rPr>
          <w:spacing w:val="-8"/>
        </w:rPr>
        <w:t> 实验拓扑”文件夹下的</w:t>
      </w:r>
      <w:r>
        <w:rPr/>
        <w:t>“IPv6.pcap”</w:t>
      </w:r>
      <w:r>
        <w:rPr>
          <w:spacing w:val="-2"/>
        </w:rPr>
        <w:t>文件，直接分析。</w:t>
      </w:r>
    </w:p>
    <w:p>
      <w:pPr>
        <w:pStyle w:val="BodyText"/>
        <w:spacing w:before="65"/>
      </w:pPr>
    </w:p>
    <w:p>
      <w:pPr>
        <w:pStyle w:val="Heading1"/>
      </w:pPr>
      <w:r>
        <w:rPr>
          <w:spacing w:val="-4"/>
        </w:rPr>
        <w:t>二、实验步骤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376" w:after="0"/>
        <w:ind w:left="230" w:right="230" w:firstLine="0"/>
        <w:jc w:val="left"/>
        <w:rPr>
          <w:rFonts w:ascii="Calibri" w:eastAsia="Calibri"/>
          <w:sz w:val="24"/>
        </w:rPr>
      </w:pPr>
      <w:r>
        <w:rPr>
          <w:rFonts w:ascii="Calibri" w:eastAsia="Calibri"/>
          <w:spacing w:val="-2"/>
          <w:sz w:val="24"/>
        </w:rPr>
        <w:t>IPv6</w:t>
      </w:r>
      <w:r>
        <w:rPr>
          <w:rFonts w:ascii="Calibri" w:eastAsia="Calibri"/>
          <w:spacing w:val="-6"/>
          <w:sz w:val="24"/>
        </w:rPr>
        <w:t> </w:t>
      </w:r>
      <w:r>
        <w:rPr>
          <w:spacing w:val="-6"/>
          <w:sz w:val="24"/>
        </w:rPr>
        <w:t>分基本头部和拓展头部。相较与 </w:t>
      </w:r>
      <w:r>
        <w:rPr>
          <w:rFonts w:ascii="Calibri" w:eastAsia="Calibri"/>
          <w:spacing w:val="-2"/>
          <w:sz w:val="24"/>
        </w:rPr>
        <w:t>IPv4</w:t>
      </w:r>
      <w:r>
        <w:rPr>
          <w:spacing w:val="-2"/>
          <w:sz w:val="24"/>
        </w:rPr>
        <w:t>，</w:t>
      </w:r>
      <w:r>
        <w:rPr>
          <w:rFonts w:ascii="Calibri" w:eastAsia="Calibri"/>
          <w:spacing w:val="-2"/>
          <w:sz w:val="24"/>
        </w:rPr>
        <w:t>IPv6 </w:t>
      </w:r>
      <w:r>
        <w:rPr>
          <w:spacing w:val="-2"/>
          <w:sz w:val="24"/>
        </w:rPr>
        <w:t>去掉了一些头部，把这些头部全部弄到了后面的扩展头部中。其中 </w:t>
      </w:r>
      <w:r>
        <w:rPr>
          <w:rFonts w:ascii="Calibri" w:eastAsia="Calibri"/>
          <w:sz w:val="24"/>
        </w:rPr>
        <w:t>IPv6 </w:t>
      </w:r>
      <w:r>
        <w:rPr>
          <w:sz w:val="24"/>
        </w:rPr>
        <w:t>报文头格式如下。</w:t>
      </w:r>
    </w:p>
    <w:p>
      <w:pPr>
        <w:pStyle w:val="BodyText"/>
        <w:spacing w:before="11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1241428</wp:posOffset>
            </wp:positionH>
            <wp:positionV relativeFrom="paragraph">
              <wp:posOffset>255004</wp:posOffset>
            </wp:positionV>
            <wp:extent cx="5050125" cy="2438400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1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7"/>
      </w:pPr>
    </w:p>
    <w:p>
      <w:pPr>
        <w:pStyle w:val="BodyText"/>
        <w:ind w:left="230"/>
      </w:pPr>
      <w:r>
        <w:rPr>
          <w:spacing w:val="-3"/>
        </w:rPr>
        <w:t>其中各字段的含义如下：</w:t>
      </w:r>
    </w:p>
    <w:p>
      <w:pPr>
        <w:pStyle w:val="BodyText"/>
        <w:spacing w:before="55"/>
        <w:rPr>
          <w:sz w:val="20"/>
        </w:rPr>
      </w:pPr>
    </w:p>
    <w:tbl>
      <w:tblPr>
        <w:tblW w:w="0" w:type="auto"/>
        <w:jc w:val="left"/>
        <w:tblInd w:w="12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0"/>
        <w:gridCol w:w="3322"/>
        <w:gridCol w:w="3322"/>
      </w:tblGrid>
      <w:tr>
        <w:trPr>
          <w:trHeight w:val="311" w:hRule="atLeast"/>
        </w:trPr>
        <w:tc>
          <w:tcPr>
            <w:tcW w:w="3320" w:type="dxa"/>
            <w:tcBorders>
              <w:bottom w:val="single" w:sz="12" w:space="0" w:color="666666"/>
            </w:tcBorders>
          </w:tcPr>
          <w:p>
            <w:pPr>
              <w:pStyle w:val="TableParagraph"/>
              <w:spacing w:line="273" w:lineRule="exact" w:before="18"/>
              <w:ind w:left="107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字段</w:t>
            </w:r>
          </w:p>
        </w:tc>
        <w:tc>
          <w:tcPr>
            <w:tcW w:w="3322" w:type="dxa"/>
            <w:tcBorders>
              <w:bottom w:val="single" w:sz="12" w:space="0" w:color="666666"/>
            </w:tcBorders>
          </w:tcPr>
          <w:p>
            <w:pPr>
              <w:pStyle w:val="TableParagraph"/>
              <w:spacing w:line="273" w:lineRule="exact" w:before="18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长度</w:t>
            </w:r>
          </w:p>
        </w:tc>
        <w:tc>
          <w:tcPr>
            <w:tcW w:w="3322" w:type="dxa"/>
            <w:tcBorders>
              <w:bottom w:val="single" w:sz="12" w:space="0" w:color="666666"/>
            </w:tcBorders>
          </w:tcPr>
          <w:p>
            <w:pPr>
              <w:pStyle w:val="TableParagraph"/>
              <w:spacing w:line="273" w:lineRule="exact" w:before="18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含义</w:t>
            </w:r>
          </w:p>
        </w:tc>
      </w:tr>
      <w:tr>
        <w:trPr>
          <w:trHeight w:val="623" w:hRule="atLeast"/>
        </w:trPr>
        <w:tc>
          <w:tcPr>
            <w:tcW w:w="3320" w:type="dxa"/>
            <w:tcBorders>
              <w:top w:val="single" w:sz="12" w:space="0" w:color="666666"/>
            </w:tcBorders>
          </w:tcPr>
          <w:p>
            <w:pPr>
              <w:pStyle w:val="TableParagraph"/>
              <w:spacing w:before="202"/>
              <w:ind w:left="8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Version</w:t>
            </w:r>
          </w:p>
        </w:tc>
        <w:tc>
          <w:tcPr>
            <w:tcW w:w="3322" w:type="dxa"/>
            <w:tcBorders>
              <w:top w:val="single" w:sz="12" w:space="0" w:color="666666"/>
            </w:tcBorders>
          </w:tcPr>
          <w:p>
            <w:pPr>
              <w:pStyle w:val="TableParagraph"/>
              <w:spacing w:before="193"/>
              <w:ind w:right="1403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4</w:t>
            </w:r>
            <w:r>
              <w:rPr>
                <w:rFonts w:ascii="Calibri" w:eastAsia="Calibri"/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  <w:tcBorders>
              <w:top w:val="single" w:sz="12" w:space="0" w:color="666666"/>
            </w:tcBorders>
          </w:tcPr>
          <w:p>
            <w:pPr>
              <w:pStyle w:val="TableParagraph"/>
              <w:spacing w:before="37"/>
              <w:ind w:left="1065"/>
              <w:rPr>
                <w:rFonts w:ascii="Calibri" w:eastAsia="Calibri"/>
                <w:sz w:val="18"/>
              </w:rPr>
            </w:pPr>
            <w:r>
              <w:rPr>
                <w:rFonts w:ascii="Calibri" w:eastAsia="Calibri"/>
                <w:sz w:val="18"/>
              </w:rPr>
              <w:t>4</w:t>
            </w:r>
            <w:r>
              <w:rPr>
                <w:spacing w:val="-9"/>
                <w:sz w:val="18"/>
              </w:rPr>
              <w:t>：表示为 </w:t>
            </w:r>
            <w:r>
              <w:rPr>
                <w:rFonts w:ascii="Calibri" w:eastAsia="Calibri"/>
                <w:spacing w:val="-4"/>
                <w:sz w:val="18"/>
              </w:rPr>
              <w:t>IPV4</w:t>
            </w:r>
          </w:p>
          <w:p>
            <w:pPr>
              <w:pStyle w:val="TableParagraph"/>
              <w:spacing w:before="78"/>
              <w:ind w:left="1065"/>
              <w:rPr>
                <w:rFonts w:ascii="Calibri" w:eastAsia="Calibri"/>
                <w:sz w:val="18"/>
              </w:rPr>
            </w:pPr>
            <w:r>
              <w:rPr>
                <w:rFonts w:ascii="Calibri" w:eastAsia="Calibri"/>
                <w:sz w:val="18"/>
              </w:rPr>
              <w:t>6</w:t>
            </w:r>
            <w:r>
              <w:rPr>
                <w:spacing w:val="-9"/>
                <w:sz w:val="18"/>
              </w:rPr>
              <w:t>：表示为 </w:t>
            </w:r>
            <w:r>
              <w:rPr>
                <w:rFonts w:ascii="Calibri" w:eastAsia="Calibri"/>
                <w:spacing w:val="-4"/>
                <w:sz w:val="18"/>
              </w:rPr>
              <w:t>IPV6</w:t>
            </w:r>
          </w:p>
        </w:tc>
      </w:tr>
      <w:tr>
        <w:trPr>
          <w:trHeight w:val="1247" w:hRule="atLeast"/>
        </w:trPr>
        <w:tc>
          <w:tcPr>
            <w:tcW w:w="332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6"/>
              <w:rPr>
                <w:sz w:val="18"/>
              </w:rPr>
            </w:pPr>
          </w:p>
          <w:p>
            <w:pPr>
              <w:pStyle w:val="TableParagraph"/>
              <w:spacing w:before="1"/>
              <w:ind w:left="8" w:right="5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Traffic</w:t>
            </w:r>
            <w:r>
              <w:rPr>
                <w:rFonts w:ascii="Calibri"/>
                <w:b/>
                <w:spacing w:val="-4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class</w:t>
            </w:r>
          </w:p>
        </w:tc>
        <w:tc>
          <w:tcPr>
            <w:tcW w:w="332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7"/>
              <w:rPr>
                <w:sz w:val="18"/>
              </w:rPr>
            </w:pPr>
          </w:p>
          <w:p>
            <w:pPr>
              <w:pStyle w:val="TableParagraph"/>
              <w:ind w:right="1403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8</w:t>
            </w:r>
            <w:r>
              <w:rPr>
                <w:rFonts w:ascii="Calibri" w:eastAsia="Calibri"/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</w:tcPr>
          <w:p>
            <w:pPr>
              <w:pStyle w:val="TableParagraph"/>
              <w:spacing w:line="319" w:lineRule="auto" w:before="37"/>
              <w:ind w:left="108" w:right="98" w:firstLine="24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流量类别。该字段及其功能类似于 </w:t>
            </w:r>
            <w:r>
              <w:rPr>
                <w:rFonts w:ascii="Calibri" w:eastAsia="Calibri"/>
                <w:spacing w:val="-2"/>
                <w:sz w:val="18"/>
              </w:rPr>
              <w:t>IPv4</w:t>
            </w:r>
            <w:r>
              <w:rPr>
                <w:spacing w:val="-2"/>
                <w:sz w:val="18"/>
              </w:rPr>
              <w:t>的业务类型字段。该字段以区分业务编码点（</w:t>
            </w:r>
            <w:r>
              <w:rPr>
                <w:rFonts w:ascii="Calibri" w:eastAsia="Calibri"/>
                <w:spacing w:val="-2"/>
                <w:sz w:val="18"/>
              </w:rPr>
              <w:t>DSCP</w:t>
            </w:r>
            <w:r>
              <w:rPr>
                <w:spacing w:val="-2"/>
                <w:sz w:val="18"/>
              </w:rPr>
              <w:t>）</w:t>
            </w:r>
            <w:r>
              <w:rPr>
                <w:spacing w:val="-10"/>
                <w:sz w:val="18"/>
              </w:rPr>
              <w:t>标记一个 </w:t>
            </w:r>
            <w:r>
              <w:rPr>
                <w:rFonts w:ascii="Calibri" w:eastAsia="Calibri"/>
                <w:spacing w:val="-2"/>
                <w:sz w:val="18"/>
              </w:rPr>
              <w:t>IPv6</w:t>
            </w:r>
            <w:r>
              <w:rPr>
                <w:rFonts w:ascii="Calibri" w:eastAsia="Calibri"/>
                <w:spacing w:val="12"/>
                <w:sz w:val="18"/>
              </w:rPr>
              <w:t> </w:t>
            </w:r>
            <w:r>
              <w:rPr>
                <w:spacing w:val="-4"/>
                <w:sz w:val="18"/>
              </w:rPr>
              <w:t>数据包，以</w:t>
            </w:r>
          </w:p>
          <w:p>
            <w:pPr>
              <w:pStyle w:val="TableParagraph"/>
              <w:spacing w:before="2"/>
              <w:ind w:left="489"/>
              <w:rPr>
                <w:sz w:val="18"/>
              </w:rPr>
            </w:pPr>
            <w:r>
              <w:rPr>
                <w:spacing w:val="-1"/>
                <w:sz w:val="18"/>
              </w:rPr>
              <w:t>此指明数据包应当如何处理。</w:t>
            </w:r>
          </w:p>
        </w:tc>
      </w:tr>
      <w:tr>
        <w:trPr>
          <w:trHeight w:val="938" w:hRule="atLeast"/>
        </w:trPr>
        <w:tc>
          <w:tcPr>
            <w:tcW w:w="3320" w:type="dxa"/>
          </w:tcPr>
          <w:p>
            <w:pPr>
              <w:pStyle w:val="TableParagraph"/>
              <w:spacing w:before="127"/>
              <w:rPr>
                <w:sz w:val="18"/>
              </w:rPr>
            </w:pPr>
          </w:p>
          <w:p>
            <w:pPr>
              <w:pStyle w:val="TableParagraph"/>
              <w:ind w:left="8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Flow</w:t>
            </w:r>
            <w:r>
              <w:rPr>
                <w:rFonts w:ascii="Calibri"/>
                <w:b/>
                <w:spacing w:val="-5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Label</w:t>
            </w:r>
          </w:p>
        </w:tc>
        <w:tc>
          <w:tcPr>
            <w:tcW w:w="3322" w:type="dxa"/>
          </w:tcPr>
          <w:p>
            <w:pPr>
              <w:pStyle w:val="TableParagraph"/>
              <w:spacing w:before="117"/>
              <w:rPr>
                <w:sz w:val="18"/>
              </w:rPr>
            </w:pPr>
          </w:p>
          <w:p>
            <w:pPr>
              <w:pStyle w:val="TableParagraph"/>
              <w:ind w:right="1356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20</w:t>
            </w:r>
            <w:r>
              <w:rPr>
                <w:rFonts w:ascii="Calibri" w:eastAsia="Calibri"/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</w:tcPr>
          <w:p>
            <w:pPr>
              <w:pStyle w:val="TableParagraph"/>
              <w:spacing w:before="39"/>
              <w:ind w:left="129" w:hanging="22"/>
              <w:rPr>
                <w:sz w:val="18"/>
              </w:rPr>
            </w:pPr>
            <w:r>
              <w:rPr>
                <w:spacing w:val="-4"/>
                <w:sz w:val="18"/>
              </w:rPr>
              <w:t>流标签。该字段用来标记 </w:t>
            </w:r>
            <w:r>
              <w:rPr>
                <w:rFonts w:ascii="Calibri" w:eastAsia="Calibri"/>
                <w:sz w:val="18"/>
              </w:rPr>
              <w:t>IP</w:t>
            </w:r>
            <w:r>
              <w:rPr>
                <w:rFonts w:ascii="Calibri" w:eastAsia="Calibri"/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数据包的一</w:t>
            </w:r>
          </w:p>
          <w:p>
            <w:pPr>
              <w:pStyle w:val="TableParagraph"/>
              <w:spacing w:line="310" w:lineRule="atLeast" w:before="2"/>
              <w:ind w:left="760" w:right="120" w:hanging="632"/>
              <w:rPr>
                <w:sz w:val="18"/>
              </w:rPr>
            </w:pPr>
            <w:r>
              <w:rPr>
                <w:spacing w:val="-2"/>
                <w:sz w:val="18"/>
              </w:rPr>
              <w:t>个流，当前的标准中没有定义如何管理和处理流标签的细节。</w:t>
            </w:r>
          </w:p>
        </w:tc>
      </w:tr>
      <w:tr>
        <w:trPr>
          <w:trHeight w:val="936" w:hRule="atLeast"/>
        </w:trPr>
        <w:tc>
          <w:tcPr>
            <w:tcW w:w="3320" w:type="dxa"/>
          </w:tcPr>
          <w:p>
            <w:pPr>
              <w:pStyle w:val="TableParagraph"/>
              <w:spacing w:before="125"/>
              <w:rPr>
                <w:sz w:val="18"/>
              </w:rPr>
            </w:pPr>
          </w:p>
          <w:p>
            <w:pPr>
              <w:pStyle w:val="TableParagraph"/>
              <w:ind w:left="1106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Payload</w:t>
            </w:r>
            <w:r>
              <w:rPr>
                <w:rFonts w:ascii="Calibri"/>
                <w:b/>
                <w:spacing w:val="-11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length</w:t>
            </w:r>
          </w:p>
        </w:tc>
        <w:tc>
          <w:tcPr>
            <w:tcW w:w="3322" w:type="dxa"/>
          </w:tcPr>
          <w:p>
            <w:pPr>
              <w:pStyle w:val="TableParagraph"/>
              <w:spacing w:before="115"/>
              <w:rPr>
                <w:sz w:val="18"/>
              </w:rPr>
            </w:pPr>
          </w:p>
          <w:p>
            <w:pPr>
              <w:pStyle w:val="TableParagraph"/>
              <w:spacing w:before="1"/>
              <w:ind w:right="1356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16</w:t>
            </w:r>
            <w:r>
              <w:rPr>
                <w:rFonts w:ascii="Calibri" w:eastAsia="Calibri"/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</w:tcPr>
          <w:p>
            <w:pPr>
              <w:pStyle w:val="TableParagraph"/>
              <w:spacing w:line="321" w:lineRule="auto" w:before="37"/>
              <w:ind w:left="110" w:right="98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该字段表示有效载荷的长度，有效载荷</w:t>
            </w:r>
            <w:r>
              <w:rPr>
                <w:spacing w:val="-9"/>
                <w:sz w:val="18"/>
              </w:rPr>
              <w:t>是指紧跟 </w:t>
            </w:r>
            <w:r>
              <w:rPr>
                <w:rFonts w:ascii="Calibri" w:eastAsia="Calibri"/>
                <w:sz w:val="18"/>
              </w:rPr>
              <w:t>IPv6</w:t>
            </w:r>
            <w:r>
              <w:rPr>
                <w:rFonts w:ascii="Calibri" w:eastAsia="Calibri"/>
                <w:spacing w:val="2"/>
                <w:sz w:val="18"/>
              </w:rPr>
              <w:t> </w:t>
            </w:r>
            <w:r>
              <w:rPr>
                <w:spacing w:val="-1"/>
                <w:sz w:val="18"/>
              </w:rPr>
              <w:t>基本报头的数据包，包含</w:t>
            </w:r>
          </w:p>
          <w:p>
            <w:pPr>
              <w:pStyle w:val="TableParagraph"/>
              <w:spacing w:line="231" w:lineRule="exact"/>
              <w:ind w:left="12" w:right="2"/>
              <w:jc w:val="center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IPv6</w:t>
            </w:r>
            <w:r>
              <w:rPr>
                <w:rFonts w:ascii="Calibri" w:eastAsia="Calibri"/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扩展报头。</w:t>
            </w:r>
          </w:p>
        </w:tc>
      </w:tr>
      <w:tr>
        <w:trPr>
          <w:trHeight w:val="623" w:hRule="atLeast"/>
        </w:trPr>
        <w:tc>
          <w:tcPr>
            <w:tcW w:w="3320" w:type="dxa"/>
          </w:tcPr>
          <w:p>
            <w:pPr>
              <w:pStyle w:val="TableParagraph"/>
              <w:spacing w:before="203"/>
              <w:ind w:left="8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Next</w:t>
            </w:r>
            <w:r>
              <w:rPr>
                <w:rFonts w:ascii="Calibri"/>
                <w:b/>
                <w:spacing w:val="-6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header</w:t>
            </w:r>
          </w:p>
        </w:tc>
        <w:tc>
          <w:tcPr>
            <w:tcW w:w="3322" w:type="dxa"/>
          </w:tcPr>
          <w:p>
            <w:pPr>
              <w:pStyle w:val="TableParagraph"/>
              <w:spacing w:before="193"/>
              <w:ind w:right="1403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8</w:t>
            </w:r>
            <w:r>
              <w:rPr>
                <w:rFonts w:ascii="Calibri" w:eastAsia="Calibri"/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</w:tcPr>
          <w:p>
            <w:pPr>
              <w:pStyle w:val="TableParagraph"/>
              <w:spacing w:before="37"/>
              <w:ind w:left="12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下一报头，该字段指明了跟随在 </w:t>
            </w:r>
            <w:r>
              <w:rPr>
                <w:rFonts w:ascii="Calibri" w:eastAsia="Calibri"/>
                <w:sz w:val="18"/>
              </w:rPr>
              <w:t>IPv6</w:t>
            </w:r>
            <w:r>
              <w:rPr>
                <w:rFonts w:ascii="Calibri" w:eastAsia="Calibri"/>
                <w:spacing w:val="5"/>
                <w:sz w:val="18"/>
              </w:rPr>
              <w:t> </w:t>
            </w:r>
            <w:r>
              <w:rPr>
                <w:spacing w:val="-10"/>
                <w:sz w:val="18"/>
              </w:rPr>
              <w:t>基</w:t>
            </w:r>
          </w:p>
          <w:p>
            <w:pPr>
              <w:pStyle w:val="TableParagraph"/>
              <w:spacing w:before="78"/>
              <w:ind w:left="12" w:right="5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本报头后的扩展报头的信息类型。</w:t>
            </w:r>
          </w:p>
        </w:tc>
      </w:tr>
      <w:tr>
        <w:trPr>
          <w:trHeight w:val="935" w:hRule="atLeast"/>
        </w:trPr>
        <w:tc>
          <w:tcPr>
            <w:tcW w:w="3320" w:type="dxa"/>
          </w:tcPr>
          <w:p>
            <w:pPr>
              <w:pStyle w:val="TableParagraph"/>
              <w:spacing w:before="124"/>
              <w:rPr>
                <w:sz w:val="18"/>
              </w:rPr>
            </w:pPr>
          </w:p>
          <w:p>
            <w:pPr>
              <w:pStyle w:val="TableParagraph"/>
              <w:spacing w:before="1"/>
              <w:ind w:left="8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Hop</w:t>
            </w:r>
            <w:r>
              <w:rPr>
                <w:rFonts w:ascii="Calibri"/>
                <w:b/>
                <w:spacing w:val="-5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limit</w:t>
            </w:r>
          </w:p>
        </w:tc>
        <w:tc>
          <w:tcPr>
            <w:tcW w:w="3322" w:type="dxa"/>
          </w:tcPr>
          <w:p>
            <w:pPr>
              <w:pStyle w:val="TableParagraph"/>
              <w:spacing w:before="115"/>
              <w:rPr>
                <w:sz w:val="18"/>
              </w:rPr>
            </w:pPr>
          </w:p>
          <w:p>
            <w:pPr>
              <w:pStyle w:val="TableParagraph"/>
              <w:ind w:right="1403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8</w:t>
            </w:r>
            <w:r>
              <w:rPr>
                <w:rFonts w:ascii="Calibri" w:eastAsia="Calibri"/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</w:tcPr>
          <w:p>
            <w:pPr>
              <w:pStyle w:val="TableParagraph"/>
              <w:spacing w:before="37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跳数限制，该字段定义了 </w:t>
            </w:r>
            <w:r>
              <w:rPr>
                <w:rFonts w:ascii="Calibri" w:eastAsia="Calibri"/>
                <w:sz w:val="18"/>
              </w:rPr>
              <w:t>IPv6</w:t>
            </w:r>
            <w:r>
              <w:rPr>
                <w:rFonts w:ascii="Calibri" w:eastAsia="Calibri"/>
                <w:spacing w:val="2"/>
                <w:sz w:val="18"/>
              </w:rPr>
              <w:t> </w:t>
            </w:r>
            <w:r>
              <w:rPr>
                <w:spacing w:val="-3"/>
                <w:sz w:val="18"/>
              </w:rPr>
              <w:t>数据包所</w:t>
            </w:r>
          </w:p>
          <w:p>
            <w:pPr>
              <w:pStyle w:val="TableParagraph"/>
              <w:spacing w:line="310" w:lineRule="atLeast" w:before="2"/>
              <w:ind w:left="768" w:right="95" w:hanging="658"/>
              <w:rPr>
                <w:sz w:val="18"/>
              </w:rPr>
            </w:pPr>
            <w:r>
              <w:rPr>
                <w:spacing w:val="-3"/>
                <w:sz w:val="18"/>
              </w:rPr>
              <w:t>能经过的最大跳数，这个字段和 </w:t>
            </w:r>
            <w:r>
              <w:rPr>
                <w:rFonts w:ascii="Calibri" w:eastAsia="Calibri"/>
                <w:sz w:val="18"/>
              </w:rPr>
              <w:t>IPv4</w:t>
            </w:r>
            <w:r>
              <w:rPr>
                <w:rFonts w:ascii="Calibri" w:eastAsia="Calibri"/>
                <w:spacing w:val="-11"/>
                <w:sz w:val="18"/>
              </w:rPr>
              <w:t> </w:t>
            </w:r>
            <w:r>
              <w:rPr>
                <w:sz w:val="18"/>
              </w:rPr>
              <w:t>中</w:t>
            </w:r>
            <w:r>
              <w:rPr>
                <w:spacing w:val="-10"/>
                <w:sz w:val="18"/>
              </w:rPr>
              <w:t>的 </w:t>
            </w:r>
            <w:r>
              <w:rPr>
                <w:rFonts w:ascii="Calibri" w:eastAsia="Calibri"/>
                <w:sz w:val="18"/>
              </w:rPr>
              <w:t>TTL </w:t>
            </w:r>
            <w:r>
              <w:rPr>
                <w:sz w:val="18"/>
              </w:rPr>
              <w:t>字段非常相似。</w:t>
            </w:r>
          </w:p>
        </w:tc>
      </w:tr>
      <w:tr>
        <w:trPr>
          <w:trHeight w:val="311" w:hRule="atLeast"/>
        </w:trPr>
        <w:tc>
          <w:tcPr>
            <w:tcW w:w="3320" w:type="dxa"/>
          </w:tcPr>
          <w:p>
            <w:pPr>
              <w:pStyle w:val="TableParagraph"/>
              <w:spacing w:before="47"/>
              <w:ind w:left="108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Source</w:t>
            </w:r>
            <w:r>
              <w:rPr>
                <w:rFonts w:ascii="Calibri"/>
                <w:b/>
                <w:spacing w:val="-9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Address</w:t>
            </w:r>
          </w:p>
        </w:tc>
        <w:tc>
          <w:tcPr>
            <w:tcW w:w="3322" w:type="dxa"/>
          </w:tcPr>
          <w:p>
            <w:pPr>
              <w:pStyle w:val="TableParagraph"/>
              <w:spacing w:before="37"/>
              <w:ind w:right="1310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128</w:t>
            </w:r>
            <w:r>
              <w:rPr>
                <w:rFonts w:ascii="Calibri" w:eastAsia="Calibri"/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</w:tcPr>
          <w:p>
            <w:pPr>
              <w:pStyle w:val="TableParagraph"/>
              <w:spacing w:before="37"/>
              <w:ind w:left="489"/>
              <w:rPr>
                <w:sz w:val="18"/>
              </w:rPr>
            </w:pPr>
            <w:r>
              <w:rPr>
                <w:spacing w:val="-1"/>
                <w:sz w:val="18"/>
              </w:rPr>
              <w:t>该字段表示该报文的源地址。</w:t>
            </w:r>
          </w:p>
        </w:tc>
      </w:tr>
      <w:tr>
        <w:trPr>
          <w:trHeight w:val="313" w:hRule="atLeast"/>
        </w:trPr>
        <w:tc>
          <w:tcPr>
            <w:tcW w:w="3320" w:type="dxa"/>
          </w:tcPr>
          <w:p>
            <w:pPr>
              <w:pStyle w:val="TableParagraph"/>
              <w:spacing w:before="47"/>
              <w:ind w:left="90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Destination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Address</w:t>
            </w:r>
          </w:p>
        </w:tc>
        <w:tc>
          <w:tcPr>
            <w:tcW w:w="3322" w:type="dxa"/>
          </w:tcPr>
          <w:p>
            <w:pPr>
              <w:pStyle w:val="TableParagraph"/>
              <w:spacing w:before="37"/>
              <w:ind w:right="1310"/>
              <w:jc w:val="right"/>
              <w:rPr>
                <w:sz w:val="18"/>
              </w:rPr>
            </w:pPr>
            <w:r>
              <w:rPr>
                <w:rFonts w:ascii="Calibri" w:eastAsia="Calibri"/>
                <w:sz w:val="18"/>
              </w:rPr>
              <w:t>128</w:t>
            </w:r>
            <w:r>
              <w:rPr>
                <w:rFonts w:ascii="Calibri" w:eastAsia="Calibri"/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比特</w:t>
            </w:r>
          </w:p>
        </w:tc>
        <w:tc>
          <w:tcPr>
            <w:tcW w:w="3322" w:type="dxa"/>
          </w:tcPr>
          <w:p>
            <w:pPr>
              <w:pStyle w:val="TableParagraph"/>
              <w:spacing w:before="37"/>
              <w:ind w:left="400"/>
              <w:rPr>
                <w:sz w:val="18"/>
              </w:rPr>
            </w:pPr>
            <w:r>
              <w:rPr>
                <w:spacing w:val="-1"/>
                <w:sz w:val="18"/>
              </w:rPr>
              <w:t>该字段表示该报文的目的地址。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1910" w:h="16840"/>
          <w:pgMar w:top="1380" w:bottom="280" w:left="850" w:right="850"/>
        </w:sectPr>
      </w:pPr>
    </w:p>
    <w:tbl>
      <w:tblPr>
        <w:tblW w:w="0" w:type="auto"/>
        <w:jc w:val="left"/>
        <w:tblInd w:w="12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0"/>
        <w:gridCol w:w="3322"/>
        <w:gridCol w:w="3322"/>
      </w:tblGrid>
      <w:tr>
        <w:trPr>
          <w:trHeight w:val="8376" w:hRule="atLeast"/>
        </w:trPr>
        <w:tc>
          <w:tcPr>
            <w:tcW w:w="332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1"/>
              <w:rPr>
                <w:sz w:val="18"/>
              </w:rPr>
            </w:pPr>
          </w:p>
          <w:p>
            <w:pPr>
              <w:pStyle w:val="TableParagraph"/>
              <w:spacing w:before="1"/>
              <w:ind w:left="96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Extension</w:t>
            </w:r>
            <w:r>
              <w:rPr>
                <w:rFonts w:ascii="Calibri"/>
                <w:b/>
                <w:spacing w:val="-9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Headers</w:t>
            </w:r>
          </w:p>
        </w:tc>
        <w:tc>
          <w:tcPr>
            <w:tcW w:w="332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2"/>
              <w:rPr>
                <w:sz w:val="18"/>
              </w:rPr>
            </w:pPr>
          </w:p>
          <w:p>
            <w:pPr>
              <w:pStyle w:val="TableParagraph"/>
              <w:ind w:left="12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可变</w:t>
            </w:r>
          </w:p>
        </w:tc>
        <w:tc>
          <w:tcPr>
            <w:tcW w:w="3322" w:type="dxa"/>
          </w:tcPr>
          <w:p>
            <w:pPr>
              <w:pStyle w:val="TableParagraph"/>
              <w:spacing w:line="319" w:lineRule="auto" w:before="37"/>
              <w:ind w:left="108" w:right="7"/>
              <w:rPr>
                <w:sz w:val="18"/>
              </w:rPr>
            </w:pPr>
            <w:r>
              <w:rPr>
                <w:spacing w:val="-19"/>
                <w:sz w:val="18"/>
              </w:rPr>
              <w:t>扩展报头。</w:t>
            </w:r>
            <w:r>
              <w:rPr>
                <w:sz w:val="18"/>
              </w:rPr>
              <w:t>IPv6</w:t>
            </w:r>
            <w:r>
              <w:rPr>
                <w:spacing w:val="-13"/>
                <w:sz w:val="18"/>
              </w:rPr>
              <w:t> 取消了 </w:t>
            </w:r>
            <w:r>
              <w:rPr>
                <w:sz w:val="18"/>
              </w:rPr>
              <w:t>IPv4</w:t>
            </w:r>
            <w:r>
              <w:rPr>
                <w:spacing w:val="-6"/>
                <w:sz w:val="18"/>
              </w:rPr>
              <w:t> 报头中的选</w:t>
            </w:r>
            <w:r>
              <w:rPr>
                <w:spacing w:val="-2"/>
                <w:sz w:val="18"/>
              </w:rPr>
              <w:t>项字段，并引入了多种扩展报文头，在</w:t>
            </w:r>
            <w:r>
              <w:rPr>
                <w:spacing w:val="1"/>
                <w:sz w:val="18"/>
              </w:rPr>
              <w:t>提高处理效率的同时还增强了</w:t>
            </w:r>
            <w:r>
              <w:rPr>
                <w:sz w:val="18"/>
              </w:rPr>
              <w:t>IPv6</w:t>
            </w:r>
            <w:r>
              <w:rPr>
                <w:spacing w:val="-23"/>
                <w:sz w:val="18"/>
              </w:rPr>
              <w:t> 的灵</w:t>
            </w:r>
            <w:r>
              <w:rPr>
                <w:spacing w:val="-19"/>
                <w:sz w:val="18"/>
              </w:rPr>
              <w:t>活性，为</w:t>
            </w:r>
            <w:r>
              <w:rPr>
                <w:sz w:val="18"/>
              </w:rPr>
              <w:t>IP</w:t>
            </w:r>
            <w:r>
              <w:rPr>
                <w:spacing w:val="-9"/>
                <w:sz w:val="18"/>
              </w:rPr>
              <w:t> 协议提供了良好的扩展能力。</w:t>
            </w:r>
            <w:r>
              <w:rPr>
                <w:spacing w:val="-2"/>
                <w:sz w:val="18"/>
              </w:rPr>
              <w:t>当超过一种扩展报头被用在同一个分组里时，报头必须按照下列顺序出现：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45" w:after="0"/>
              <w:ind w:left="827" w:right="0" w:hanging="599"/>
              <w:jc w:val="left"/>
              <w:rPr>
                <w:sz w:val="18"/>
              </w:rPr>
            </w:pPr>
            <w:r>
              <w:rPr>
                <w:sz w:val="18"/>
              </w:rPr>
              <w:t>IPv6</w:t>
            </w:r>
            <w:r>
              <w:rPr>
                <w:spacing w:val="-12"/>
                <w:sz w:val="18"/>
              </w:rPr>
              <w:t> 基本报头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108" w:after="0"/>
              <w:ind w:left="827" w:right="0" w:hanging="59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逐跳选项扩展报头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109" w:after="0"/>
              <w:ind w:left="827" w:right="0" w:hanging="59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目的选项扩展报头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108" w:after="0"/>
              <w:ind w:left="827" w:right="0" w:hanging="59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路由扩展报头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108" w:after="0"/>
              <w:ind w:left="827" w:right="0" w:hanging="59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分片扩展报头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109" w:after="0"/>
              <w:ind w:left="827" w:right="0" w:hanging="59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授权扩展报头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108" w:after="0"/>
              <w:ind w:left="827" w:right="0" w:hanging="599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封装安全有效载荷扩展报头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88" w:val="left" w:leader="none"/>
                <w:tab w:pos="827" w:val="left" w:leader="none"/>
              </w:tabs>
              <w:spacing w:line="312" w:lineRule="auto" w:before="109" w:after="0"/>
              <w:ind w:left="588" w:right="143" w:hanging="360"/>
              <w:jc w:val="left"/>
              <w:rPr>
                <w:sz w:val="18"/>
              </w:rPr>
            </w:pPr>
            <w:r>
              <w:rPr>
                <w:rFonts w:ascii="Times New Roman" w:hAnsi="Times New Roman" w:eastAsia="Times New Roman"/>
                <w:sz w:val="20"/>
              </w:rPr>
              <w:tab/>
            </w:r>
            <w:r>
              <w:rPr>
                <w:spacing w:val="-2"/>
                <w:sz w:val="18"/>
              </w:rPr>
              <w:t>目的选项扩展报头（指那些将被分组报文的最终目的地处理的</w:t>
            </w:r>
            <w:r>
              <w:rPr>
                <w:spacing w:val="-4"/>
                <w:sz w:val="18"/>
              </w:rPr>
              <w:t>选项。）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50" w:after="0"/>
              <w:ind w:left="827" w:right="0" w:hanging="59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上层扩展报头</w:t>
            </w:r>
          </w:p>
          <w:p>
            <w:pPr>
              <w:pStyle w:val="TableParagraph"/>
              <w:spacing w:line="319" w:lineRule="auto" w:before="116"/>
              <w:ind w:left="108" w:right="14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不是所有的扩展报头都需要被转发路由设备查看和处理的。路由设备转发时根</w:t>
            </w:r>
            <w:r>
              <w:rPr>
                <w:spacing w:val="-5"/>
                <w:sz w:val="18"/>
              </w:rPr>
              <w:t>据基本报头中 </w:t>
            </w:r>
            <w:r>
              <w:rPr>
                <w:spacing w:val="-2"/>
                <w:sz w:val="18"/>
              </w:rPr>
              <w:t>Next</w:t>
            </w:r>
            <w:r>
              <w:rPr>
                <w:spacing w:val="-20"/>
                <w:sz w:val="18"/>
              </w:rPr>
              <w:t> </w:t>
            </w:r>
            <w:r>
              <w:rPr>
                <w:spacing w:val="-2"/>
                <w:sz w:val="18"/>
              </w:rPr>
              <w:t>Header</w:t>
            </w:r>
            <w:r>
              <w:rPr>
                <w:spacing w:val="-7"/>
                <w:sz w:val="18"/>
              </w:rPr>
              <w:t> 值来决定是</w:t>
            </w:r>
            <w:r>
              <w:rPr>
                <w:spacing w:val="-2"/>
                <w:sz w:val="18"/>
              </w:rPr>
              <w:t>否要处理扩展头。</w:t>
            </w:r>
          </w:p>
          <w:p>
            <w:pPr>
              <w:pStyle w:val="TableParagraph"/>
              <w:spacing w:line="319" w:lineRule="auto" w:before="52"/>
              <w:ind w:left="108" w:right="14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除了目的选项扩展报头出现两次（一次在路由扩展报头之前，另一次在上层扩</w:t>
            </w:r>
            <w:r>
              <w:rPr>
                <w:sz w:val="18"/>
              </w:rPr>
              <w:t>展报头之前），</w:t>
            </w:r>
            <w:r>
              <w:rPr>
                <w:spacing w:val="-1"/>
                <w:sz w:val="18"/>
              </w:rPr>
              <w:t>其余扩展报头只出现一</w:t>
            </w:r>
          </w:p>
          <w:p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次。</w:t>
            </w:r>
          </w:p>
        </w:tc>
      </w:tr>
    </w:tbl>
    <w:p>
      <w:pPr>
        <w:pStyle w:val="BodyText"/>
        <w:spacing w:before="20"/>
      </w:pP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40" w:lineRule="auto" w:before="0" w:after="0"/>
        <w:ind w:left="531" w:right="0" w:hanging="301"/>
        <w:jc w:val="left"/>
        <w:rPr>
          <w:rFonts w:ascii="Calibri" w:eastAsia="Calibri"/>
          <w:sz w:val="24"/>
        </w:rPr>
      </w:pPr>
      <w:r>
        <w:rPr>
          <w:spacing w:val="-5"/>
          <w:sz w:val="24"/>
        </w:rPr>
        <w:t>对实验准备中，抓取到的 </w:t>
      </w:r>
      <w:r>
        <w:rPr>
          <w:rFonts w:ascii="Calibri" w:eastAsia="Calibri"/>
          <w:sz w:val="24"/>
        </w:rPr>
        <w:t>IPv6</w:t>
      </w:r>
      <w:r>
        <w:rPr>
          <w:rFonts w:ascii="Calibri" w:eastAsia="Calibri"/>
          <w:spacing w:val="3"/>
          <w:sz w:val="24"/>
        </w:rPr>
        <w:t> </w:t>
      </w:r>
      <w:r>
        <w:rPr>
          <w:spacing w:val="-1"/>
          <w:sz w:val="24"/>
        </w:rPr>
        <w:t>数据包进行分析。双击第一个数据包，打开数据包详情。</w:t>
      </w:r>
    </w:p>
    <w:p>
      <w:pPr>
        <w:pStyle w:val="ListParagraph"/>
        <w:spacing w:after="0" w:line="240" w:lineRule="auto"/>
        <w:jc w:val="left"/>
        <w:rPr>
          <w:rFonts w:ascii="Calibri" w:eastAsia="Calibri"/>
          <w:sz w:val="24"/>
        </w:rPr>
        <w:sectPr>
          <w:type w:val="continuous"/>
          <w:pgSz w:w="11910" w:h="16840"/>
          <w:pgMar w:top="1400" w:bottom="280" w:left="850" w:right="850"/>
        </w:sectPr>
      </w:pPr>
    </w:p>
    <w:p>
      <w:pPr>
        <w:pStyle w:val="BodyText"/>
        <w:ind w:left="230"/>
        <w:rPr>
          <w:sz w:val="20"/>
        </w:rPr>
      </w:pPr>
      <w:r>
        <w:rPr>
          <w:sz w:val="20"/>
        </w:rPr>
        <w:drawing>
          <wp:inline distT="0" distB="0" distL="0" distR="0">
            <wp:extent cx="6131154" cy="312420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154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685800</wp:posOffset>
            </wp:positionH>
            <wp:positionV relativeFrom="paragraph">
              <wp:posOffset>78485</wp:posOffset>
            </wp:positionV>
            <wp:extent cx="6152804" cy="3660457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804" cy="3660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93"/>
      </w:pPr>
    </w:p>
    <w:p>
      <w:pPr>
        <w:pStyle w:val="ListParagraph"/>
        <w:numPr>
          <w:ilvl w:val="0"/>
          <w:numId w:val="1"/>
        </w:numPr>
        <w:tabs>
          <w:tab w:pos="531" w:val="left" w:leader="none"/>
        </w:tabs>
        <w:spacing w:line="240" w:lineRule="auto" w:before="0" w:after="0"/>
        <w:ind w:left="531" w:right="0" w:hanging="301"/>
        <w:jc w:val="left"/>
        <w:rPr>
          <w:rFonts w:ascii="Calibri" w:eastAsia="Calibri"/>
          <w:sz w:val="24"/>
        </w:rPr>
      </w:pPr>
      <w:r>
        <w:rPr>
          <w:spacing w:val="-6"/>
          <w:sz w:val="24"/>
        </w:rPr>
        <w:t>对数据包的网络层的 </w:t>
      </w:r>
      <w:r>
        <w:rPr>
          <w:rFonts w:ascii="Calibri" w:eastAsia="Calibri"/>
          <w:sz w:val="24"/>
        </w:rPr>
        <w:t>IPv6</w:t>
      </w:r>
      <w:r>
        <w:rPr>
          <w:rFonts w:ascii="Calibri" w:eastAsia="Calibri"/>
          <w:spacing w:val="4"/>
          <w:sz w:val="24"/>
        </w:rPr>
        <w:t> </w:t>
      </w:r>
      <w:r>
        <w:rPr>
          <w:spacing w:val="-1"/>
          <w:sz w:val="24"/>
        </w:rPr>
        <w:t>协议的字段内容进行分析</w:t>
      </w:r>
    </w:p>
    <w:p>
      <w:pPr>
        <w:pStyle w:val="ListParagraph"/>
        <w:spacing w:after="0" w:line="240" w:lineRule="auto"/>
        <w:jc w:val="left"/>
        <w:rPr>
          <w:rFonts w:ascii="Calibri" w:eastAsia="Calibri"/>
          <w:sz w:val="24"/>
        </w:rPr>
        <w:sectPr>
          <w:pgSz w:w="11910" w:h="16840"/>
          <w:pgMar w:top="1440" w:bottom="280" w:left="850" w:right="850"/>
        </w:sectPr>
      </w:pPr>
    </w:p>
    <w:p>
      <w:pPr>
        <w:pStyle w:val="BodyText"/>
        <w:ind w:left="230"/>
        <w:rPr>
          <w:sz w:val="20"/>
        </w:rPr>
      </w:pPr>
      <w:r>
        <w:rPr>
          <w:sz w:val="20"/>
        </w:rPr>
        <w:drawing>
          <wp:inline distT="0" distB="0" distL="0" distR="0">
            <wp:extent cx="6161742" cy="3660457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742" cy="366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3"/>
      </w:pP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240" w:lineRule="auto" w:before="0" w:after="0"/>
        <w:ind w:left="230" w:right="132" w:firstLine="0"/>
        <w:jc w:val="left"/>
        <w:rPr>
          <w:sz w:val="24"/>
        </w:rPr>
      </w:pPr>
      <w:r>
        <w:rPr>
          <w:sz w:val="24"/>
        </w:rPr>
        <w:t>ICMPv6（Internet</w:t>
      </w:r>
      <w:r>
        <w:rPr>
          <w:spacing w:val="-10"/>
          <w:sz w:val="24"/>
        </w:rPr>
        <w:t> </w:t>
      </w:r>
      <w:r>
        <w:rPr>
          <w:sz w:val="24"/>
        </w:rPr>
        <w:t>Control</w:t>
      </w:r>
      <w:r>
        <w:rPr>
          <w:spacing w:val="-5"/>
          <w:sz w:val="24"/>
        </w:rPr>
        <w:t> </w:t>
      </w:r>
      <w:r>
        <w:rPr>
          <w:sz w:val="24"/>
        </w:rPr>
        <w:t>Message</w:t>
      </w:r>
      <w:r>
        <w:rPr>
          <w:spacing w:val="-5"/>
          <w:sz w:val="24"/>
        </w:rPr>
        <w:t> </w:t>
      </w:r>
      <w:r>
        <w:rPr>
          <w:sz w:val="24"/>
        </w:rPr>
        <w:t>Protocol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IPv6）</w:t>
      </w:r>
      <w:r>
        <w:rPr>
          <w:spacing w:val="-30"/>
          <w:sz w:val="24"/>
        </w:rPr>
        <w:t>是 </w:t>
      </w:r>
      <w:r>
        <w:rPr>
          <w:sz w:val="24"/>
        </w:rPr>
        <w:t>IPv6</w:t>
      </w:r>
      <w:r>
        <w:rPr>
          <w:spacing w:val="-8"/>
          <w:sz w:val="24"/>
        </w:rPr>
        <w:t> 的基础协议之一。</w:t>
      </w:r>
      <w:r>
        <w:rPr>
          <w:spacing w:val="-15"/>
          <w:sz w:val="24"/>
        </w:rPr>
        <w:t>在 </w:t>
      </w:r>
      <w:r>
        <w:rPr>
          <w:sz w:val="24"/>
        </w:rPr>
        <w:t>IPv6</w:t>
      </w:r>
      <w:r>
        <w:rPr>
          <w:spacing w:val="-11"/>
          <w:sz w:val="24"/>
        </w:rPr>
        <w:t> 中，</w:t>
      </w:r>
      <w:r>
        <w:rPr>
          <w:sz w:val="24"/>
        </w:rPr>
        <w:t>ICMPv6</w:t>
      </w:r>
      <w:r>
        <w:rPr>
          <w:spacing w:val="-12"/>
          <w:sz w:val="24"/>
        </w:rPr>
        <w:t> 除了提供 </w:t>
      </w:r>
      <w:r>
        <w:rPr>
          <w:sz w:val="24"/>
        </w:rPr>
        <w:t>ICMPv4</w:t>
      </w:r>
      <w:r>
        <w:rPr>
          <w:spacing w:val="-6"/>
          <w:sz w:val="24"/>
        </w:rPr>
        <w:t> 常用的功能之外，还是其它一些功能的基础，如邻接点</w:t>
      </w:r>
      <w:r>
        <w:rPr>
          <w:sz w:val="24"/>
        </w:rPr>
        <w:t>发现、无状态地址配置（包括重复地址检测</w:t>
      </w:r>
      <w:r>
        <w:rPr>
          <w:spacing w:val="-120"/>
          <w:sz w:val="24"/>
        </w:rPr>
        <w:t>）</w:t>
      </w:r>
      <w:r>
        <w:rPr>
          <w:sz w:val="24"/>
        </w:rPr>
        <w:t>、PMTU</w:t>
      </w:r>
      <w:r>
        <w:rPr>
          <w:spacing w:val="-9"/>
          <w:sz w:val="24"/>
        </w:rPr>
        <w:t> 发现等。</w:t>
      </w:r>
    </w:p>
    <w:p>
      <w:pPr>
        <w:pStyle w:val="BodyText"/>
        <w:spacing w:before="1"/>
        <w:ind w:left="230"/>
      </w:pPr>
      <w:r>
        <w:rPr>
          <w:spacing w:val="-2"/>
        </w:rPr>
        <w:t>ICMPv6</w:t>
      </w:r>
      <w:r>
        <w:rPr>
          <w:spacing w:val="-9"/>
        </w:rPr>
        <w:t> 的报文格式如下：</w:t>
      </w:r>
    </w:p>
    <w:p>
      <w:pPr>
        <w:pStyle w:val="BodyText"/>
        <w:rPr>
          <w:sz w:val="20"/>
        </w:rPr>
      </w:pPr>
    </w:p>
    <w:p>
      <w:pPr>
        <w:pStyle w:val="BodyText"/>
        <w:spacing w:before="3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739459</wp:posOffset>
            </wp:positionH>
            <wp:positionV relativeFrom="paragraph">
              <wp:posOffset>204015</wp:posOffset>
            </wp:positionV>
            <wp:extent cx="5916598" cy="3552158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6598" cy="3552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top="1500" w:bottom="280" w:left="850" w:right="850"/>
        </w:sectPr>
      </w:pPr>
    </w:p>
    <w:p>
      <w:pPr>
        <w:pStyle w:val="BodyText"/>
        <w:spacing w:before="40"/>
        <w:ind w:left="230"/>
      </w:pPr>
      <w:r>
        <w:rPr>
          <w:spacing w:val="-1"/>
        </w:rPr>
        <w:t>报文中字段解释如下：</w:t>
      </w:r>
    </w:p>
    <w:p>
      <w:pPr>
        <w:pStyle w:val="BodyText"/>
        <w:spacing w:before="312"/>
        <w:ind w:left="230"/>
      </w:pPr>
      <w:r>
        <w:rPr/>
        <w:t>Type：表明消息的类型，0</w:t>
      </w:r>
      <w:r>
        <w:rPr>
          <w:spacing w:val="-40"/>
        </w:rPr>
        <w:t> 至 </w:t>
      </w:r>
      <w:r>
        <w:rPr/>
        <w:t>127</w:t>
      </w:r>
      <w:r>
        <w:rPr>
          <w:spacing w:val="-8"/>
        </w:rPr>
        <w:t> 表示差错报文类型</w:t>
      </w:r>
      <w:r>
        <w:rPr/>
        <w:t>，128</w:t>
      </w:r>
      <w:r>
        <w:rPr>
          <w:spacing w:val="-40"/>
        </w:rPr>
        <w:t> 至 </w:t>
      </w:r>
      <w:r>
        <w:rPr/>
        <w:t>255</w:t>
      </w:r>
      <w:r>
        <w:rPr>
          <w:spacing w:val="-9"/>
        </w:rPr>
        <w:t> 表示消息报文类型。</w:t>
      </w:r>
    </w:p>
    <w:p>
      <w:pPr>
        <w:pStyle w:val="BodyText"/>
        <w:ind w:left="230" w:right="5774"/>
      </w:pPr>
      <w:r>
        <w:rPr>
          <w:spacing w:val="-2"/>
        </w:rPr>
        <w:t>Code：表示此消息类型细分的类型。 Checksum：</w:t>
      </w:r>
      <w:r>
        <w:rPr>
          <w:spacing w:val="-20"/>
        </w:rPr>
        <w:t>表示 </w:t>
      </w:r>
      <w:r>
        <w:rPr>
          <w:spacing w:val="-2"/>
        </w:rPr>
        <w:t>ICMPv6</w:t>
      </w:r>
      <w:r>
        <w:rPr>
          <w:spacing w:val="-10"/>
        </w:rPr>
        <w:t> 报文的校验和。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40" w:lineRule="auto" w:before="312" w:after="0"/>
        <w:ind w:left="470" w:right="0" w:hanging="240"/>
        <w:jc w:val="left"/>
        <w:rPr>
          <w:sz w:val="22"/>
        </w:rPr>
      </w:pPr>
      <w:r>
        <w:rPr>
          <w:spacing w:val="-13"/>
          <w:sz w:val="24"/>
        </w:rPr>
        <w:t>分析步骤 </w:t>
      </w:r>
      <w:r>
        <w:rPr>
          <w:sz w:val="24"/>
        </w:rPr>
        <w:t>3</w:t>
      </w:r>
      <w:r>
        <w:rPr>
          <w:spacing w:val="-30"/>
          <w:sz w:val="24"/>
        </w:rPr>
        <w:t> 中的 </w:t>
      </w:r>
      <w:r>
        <w:rPr>
          <w:sz w:val="24"/>
        </w:rPr>
        <w:t>ICMPv6</w:t>
      </w:r>
      <w:r>
        <w:rPr>
          <w:spacing w:val="-24"/>
          <w:sz w:val="24"/>
        </w:rPr>
        <w:t> 报文</w:t>
      </w:r>
    </w:p>
    <w:p>
      <w:pPr>
        <w:pStyle w:val="BodyText"/>
        <w:spacing w:before="8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685800</wp:posOffset>
            </wp:positionH>
            <wp:positionV relativeFrom="paragraph">
              <wp:posOffset>45465</wp:posOffset>
            </wp:positionV>
            <wp:extent cx="6152804" cy="3660457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804" cy="3660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240" w:lineRule="auto" w:before="1" w:after="0"/>
        <w:ind w:left="590" w:right="0" w:hanging="360"/>
        <w:jc w:val="left"/>
        <w:rPr>
          <w:sz w:val="24"/>
        </w:rPr>
      </w:pPr>
      <w:r>
        <w:rPr>
          <w:spacing w:val="-3"/>
          <w:sz w:val="24"/>
        </w:rPr>
        <w:t>实验结束</w:t>
      </w:r>
    </w:p>
    <w:sectPr>
      <w:pgSz w:w="11910" w:h="16840"/>
      <w:pgMar w:top="138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宋体">
    <w:altName w:val="宋体"/>
    <w:charset w:val="86"/>
    <w:family w:val="auto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588" w:hanging="60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3" w:hanging="6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26" w:hanging="6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9" w:hanging="6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72" w:hanging="6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46" w:hanging="6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19" w:hanging="6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2" w:hanging="6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65" w:hanging="60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30" w:hanging="238"/>
        <w:jc w:val="left"/>
      </w:pPr>
      <w:rPr>
        <w:rFonts w:hint="default"/>
        <w:spacing w:val="-1"/>
        <w:w w:val="9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6" w:hanging="23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23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9" w:hanging="23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26" w:hanging="23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3" w:hanging="23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19" w:hanging="23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16" w:hanging="23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3" w:hanging="23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30"/>
      <w:outlineLvl w:val="1"/>
    </w:pPr>
    <w:rPr>
      <w:rFonts w:ascii="宋体" w:hAnsi="宋体" w:eastAsia="宋体" w:cs="宋体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30" w:hanging="301"/>
    </w:pPr>
    <w:rPr>
      <w:rFonts w:ascii="宋体" w:hAnsi="宋体" w:eastAsia="宋体" w:cs="宋体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宋体" w:hAnsi="宋体" w:eastAsia="宋体" w:cs="宋体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ieccr</dc:creator>
  <dcterms:created xsi:type="dcterms:W3CDTF">2025-04-28T06:29:56Z</dcterms:created>
  <dcterms:modified xsi:type="dcterms:W3CDTF">2025-04-28T06:29:56Z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2019</vt:lpwstr>
  </property>
</Properties>
</file>